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749B0" w14:textId="66202914" w:rsidR="00943FE1" w:rsidRPr="008F24F5" w:rsidRDefault="008F24F5" w:rsidP="00943FE1">
      <w:pPr>
        <w:spacing w:line="360" w:lineRule="auto"/>
        <w:jc w:val="both"/>
        <w:rPr>
          <w:rFonts w:ascii="Arial" w:hAnsi="Arial" w:cs="Arial"/>
          <w:u w:val="single"/>
        </w:rPr>
      </w:pPr>
      <w:r w:rsidRPr="008F24F5">
        <w:rPr>
          <w:rFonts w:ascii="Arial" w:hAnsi="Arial" w:cs="Arial"/>
          <w:u w:val="single"/>
        </w:rPr>
        <w:t>LAMILUX erweitert Portfolio um Flachdach Ausstieg für Serviceeinsätze</w:t>
      </w:r>
    </w:p>
    <w:p w14:paraId="6B0830B0" w14:textId="77777777" w:rsidR="00943FE1" w:rsidRDefault="00943FE1" w:rsidP="00943FE1">
      <w:pPr>
        <w:spacing w:line="360" w:lineRule="auto"/>
        <w:jc w:val="both"/>
        <w:rPr>
          <w:rFonts w:ascii="Arial" w:hAnsi="Arial" w:cs="Arial"/>
        </w:rPr>
      </w:pPr>
    </w:p>
    <w:p w14:paraId="451015B2" w14:textId="4FA688CB" w:rsidR="00305675" w:rsidRPr="00FC0E50" w:rsidRDefault="00FC0E50" w:rsidP="00943FE1">
      <w:pPr>
        <w:spacing w:line="360" w:lineRule="auto"/>
        <w:jc w:val="both"/>
        <w:rPr>
          <w:rFonts w:ascii="Arial" w:hAnsi="Arial" w:cs="Arial"/>
          <w:b/>
          <w:bCs/>
          <w:sz w:val="52"/>
          <w:szCs w:val="52"/>
        </w:rPr>
      </w:pPr>
      <w:r w:rsidRPr="00FC0E50">
        <w:rPr>
          <w:rFonts w:ascii="Arial" w:hAnsi="Arial" w:cs="Arial"/>
          <w:b/>
          <w:bCs/>
          <w:sz w:val="52"/>
          <w:szCs w:val="52"/>
        </w:rPr>
        <w:t>Der nächste Schritt aufs Dach</w:t>
      </w:r>
    </w:p>
    <w:p w14:paraId="726583F8" w14:textId="77777777" w:rsidR="00FC0E50" w:rsidRDefault="00FC0E50" w:rsidP="00943FE1">
      <w:pPr>
        <w:spacing w:line="360" w:lineRule="auto"/>
        <w:jc w:val="both"/>
        <w:rPr>
          <w:rFonts w:ascii="Arial" w:hAnsi="Arial" w:cs="Arial"/>
        </w:rPr>
      </w:pPr>
    </w:p>
    <w:p w14:paraId="4C29C793" w14:textId="31116E3A" w:rsidR="00943FE1" w:rsidRDefault="00943FE1" w:rsidP="00943FE1">
      <w:pPr>
        <w:spacing w:line="360" w:lineRule="auto"/>
        <w:jc w:val="both"/>
        <w:rPr>
          <w:rFonts w:ascii="Arial" w:hAnsi="Arial" w:cs="Arial"/>
          <w:b/>
          <w:bCs/>
        </w:rPr>
      </w:pPr>
      <w:r w:rsidRPr="00943FE1">
        <w:rPr>
          <w:rFonts w:ascii="Arial" w:hAnsi="Arial" w:cs="Arial"/>
          <w:b/>
          <w:bCs/>
        </w:rPr>
        <w:t>Das Dach gewinnt zunehmend an Bedeutung: Ob Photovoltaik, Begrünung oder technische Anlagen – Dächer werden heute aktiv genutzt und sind längst mehr als nur Gebäudeabschluss. Vor allem das Flachdach hat sich zur „fünften Fassade“ entwickelt und ist ein wesentlicher Bestandteil moderner</w:t>
      </w:r>
      <w:r w:rsidR="002E1D00">
        <w:rPr>
          <w:rFonts w:ascii="Arial" w:hAnsi="Arial" w:cs="Arial"/>
          <w:b/>
          <w:bCs/>
        </w:rPr>
        <w:t xml:space="preserve"> und</w:t>
      </w:r>
      <w:r w:rsidRPr="00943FE1">
        <w:rPr>
          <w:rFonts w:ascii="Arial" w:hAnsi="Arial" w:cs="Arial"/>
          <w:b/>
          <w:bCs/>
        </w:rPr>
        <w:t xml:space="preserve"> nachhaltiger Gebäudekonzepte. Mit steigenden Anforderungen an Energieeffizienz, Brandschutz und Gebäudesicherheit nimmt zugleich die Nutzungshäufigkeit von Dachflächen deutlich zu.</w:t>
      </w:r>
    </w:p>
    <w:p w14:paraId="65EFF215" w14:textId="77777777" w:rsidR="00305675" w:rsidRPr="00943FE1" w:rsidRDefault="00305675" w:rsidP="00943FE1">
      <w:pPr>
        <w:spacing w:line="360" w:lineRule="auto"/>
        <w:jc w:val="both"/>
        <w:rPr>
          <w:rFonts w:ascii="Arial" w:hAnsi="Arial" w:cs="Arial"/>
          <w:b/>
          <w:bCs/>
        </w:rPr>
      </w:pPr>
    </w:p>
    <w:p w14:paraId="79DA25DF" w14:textId="7D82CFBB" w:rsidR="002E1D00" w:rsidRDefault="00943FE1" w:rsidP="00943FE1">
      <w:pPr>
        <w:spacing w:line="360" w:lineRule="auto"/>
        <w:jc w:val="both"/>
        <w:rPr>
          <w:rFonts w:ascii="Arial" w:hAnsi="Arial" w:cs="Arial"/>
        </w:rPr>
      </w:pPr>
      <w:r w:rsidRPr="00943FE1">
        <w:rPr>
          <w:rFonts w:ascii="Arial" w:hAnsi="Arial" w:cs="Arial"/>
        </w:rPr>
        <w:t xml:space="preserve">Damit wachsen auch die Anforderungen an einen sicheren und </w:t>
      </w:r>
      <w:r w:rsidR="002E1D00">
        <w:rPr>
          <w:rFonts w:ascii="Arial" w:hAnsi="Arial" w:cs="Arial"/>
        </w:rPr>
        <w:t>einfachen</w:t>
      </w:r>
      <w:r w:rsidRPr="00943FE1">
        <w:rPr>
          <w:rFonts w:ascii="Arial" w:hAnsi="Arial" w:cs="Arial"/>
        </w:rPr>
        <w:t xml:space="preserve"> Zugang. Wartungs- und Servicearbeiten müssen regelmäßig durchgeführt werden – oft durch externe Fachkräfte, die nicht täglich auf Dächern arbeiten. Herkömmliche </w:t>
      </w:r>
      <w:r w:rsidR="00C21EB3">
        <w:rPr>
          <w:rFonts w:ascii="Arial" w:hAnsi="Arial" w:cs="Arial"/>
        </w:rPr>
        <w:t>Oberlichter</w:t>
      </w:r>
      <w:r w:rsidRPr="00943FE1">
        <w:rPr>
          <w:rFonts w:ascii="Arial" w:hAnsi="Arial" w:cs="Arial"/>
        </w:rPr>
        <w:t xml:space="preserve"> stoßen dabei schnell an ihre Grenzen. Mit dem neuen </w:t>
      </w:r>
      <w:r w:rsidRPr="00C21EB3">
        <w:rPr>
          <w:rFonts w:ascii="Arial" w:hAnsi="Arial" w:cs="Arial"/>
          <w:b/>
          <w:bCs/>
        </w:rPr>
        <w:t>Flachdach Ausstieg Service FE</w:t>
      </w:r>
      <w:r w:rsidRPr="00943FE1">
        <w:rPr>
          <w:rFonts w:ascii="Arial" w:hAnsi="Arial" w:cs="Arial"/>
        </w:rPr>
        <w:t xml:space="preserve"> </w:t>
      </w:r>
      <w:r w:rsidR="008D3F6E">
        <w:rPr>
          <w:rFonts w:ascii="Arial" w:hAnsi="Arial" w:cs="Arial"/>
        </w:rPr>
        <w:t>bietet</w:t>
      </w:r>
      <w:r w:rsidRPr="00943FE1">
        <w:rPr>
          <w:rFonts w:ascii="Arial" w:hAnsi="Arial" w:cs="Arial"/>
        </w:rPr>
        <w:t xml:space="preserve"> LAMILUX </w:t>
      </w:r>
      <w:r w:rsidR="008D3F6E">
        <w:rPr>
          <w:rFonts w:ascii="Arial" w:hAnsi="Arial" w:cs="Arial"/>
        </w:rPr>
        <w:t xml:space="preserve">zum </w:t>
      </w:r>
      <w:r w:rsidR="008D3F6E" w:rsidRPr="002E1D00">
        <w:rPr>
          <w:rFonts w:ascii="Arial" w:hAnsi="Arial" w:cs="Arial"/>
          <w:b/>
          <w:bCs/>
        </w:rPr>
        <w:t>1. März 2026</w:t>
      </w:r>
      <w:r w:rsidRPr="008D3F6E">
        <w:rPr>
          <w:rFonts w:ascii="Arial" w:hAnsi="Arial" w:cs="Arial"/>
          <w:b/>
          <w:bCs/>
        </w:rPr>
        <w:t xml:space="preserve"> </w:t>
      </w:r>
      <w:r w:rsidRPr="00943FE1">
        <w:rPr>
          <w:rFonts w:ascii="Arial" w:hAnsi="Arial" w:cs="Arial"/>
        </w:rPr>
        <w:t>den ersten speziell für Wartungs- und Serviceeinsätze entwickelten Flachdach</w:t>
      </w:r>
      <w:r w:rsidR="00C21EB3">
        <w:rPr>
          <w:rFonts w:ascii="Arial" w:hAnsi="Arial" w:cs="Arial"/>
        </w:rPr>
        <w:t xml:space="preserve"> A</w:t>
      </w:r>
      <w:r w:rsidRPr="00943FE1">
        <w:rPr>
          <w:rFonts w:ascii="Arial" w:hAnsi="Arial" w:cs="Arial"/>
        </w:rPr>
        <w:t xml:space="preserve">usstieg </w:t>
      </w:r>
      <w:r w:rsidR="008D3F6E">
        <w:rPr>
          <w:rFonts w:ascii="Arial" w:hAnsi="Arial" w:cs="Arial"/>
        </w:rPr>
        <w:t>an</w:t>
      </w:r>
      <w:r w:rsidRPr="00943FE1">
        <w:rPr>
          <w:rFonts w:ascii="Arial" w:hAnsi="Arial" w:cs="Arial"/>
        </w:rPr>
        <w:t>, der Sicherheit, Raumangebot und Alltagstauglichkeit vereint.</w:t>
      </w:r>
    </w:p>
    <w:p w14:paraId="1E682369" w14:textId="77777777" w:rsidR="002E1D00" w:rsidRDefault="002E1D00">
      <w:pPr>
        <w:spacing w:after="160" w:line="259" w:lineRule="auto"/>
        <w:rPr>
          <w:rFonts w:ascii="Arial" w:hAnsi="Arial" w:cs="Arial"/>
        </w:rPr>
      </w:pPr>
      <w:r>
        <w:rPr>
          <w:rFonts w:ascii="Arial" w:hAnsi="Arial" w:cs="Arial"/>
        </w:rPr>
        <w:br w:type="page"/>
      </w:r>
    </w:p>
    <w:p w14:paraId="6D9EBB42" w14:textId="32B4CB7C" w:rsidR="00943FE1" w:rsidRPr="00305675" w:rsidRDefault="002E1D00" w:rsidP="00943FE1">
      <w:pPr>
        <w:spacing w:line="360" w:lineRule="auto"/>
        <w:jc w:val="both"/>
        <w:rPr>
          <w:rFonts w:ascii="Arial" w:hAnsi="Arial" w:cs="Arial"/>
        </w:rPr>
      </w:pPr>
      <w:r>
        <w:rPr>
          <w:rFonts w:ascii="Arial" w:hAnsi="Arial" w:cs="Arial"/>
          <w:noProof/>
        </w:rPr>
        <w:lastRenderedPageBreak/>
        <w:drawing>
          <wp:inline distT="0" distB="0" distL="0" distR="0" wp14:anchorId="49CA96FD" wp14:editId="2C267ABA">
            <wp:extent cx="4856480" cy="2726055"/>
            <wp:effectExtent l="0" t="0" r="1270" b="0"/>
            <wp:docPr id="2478037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56480" cy="2726055"/>
                    </a:xfrm>
                    <a:prstGeom prst="rect">
                      <a:avLst/>
                    </a:prstGeom>
                    <a:noFill/>
                    <a:ln>
                      <a:noFill/>
                    </a:ln>
                  </pic:spPr>
                </pic:pic>
              </a:graphicData>
            </a:graphic>
          </wp:inline>
        </w:drawing>
      </w:r>
      <w:r>
        <w:rPr>
          <w:rFonts w:ascii="Arial" w:hAnsi="Arial" w:cs="Arial"/>
        </w:rPr>
        <w:br/>
      </w:r>
      <w:r w:rsidRPr="002E1D00">
        <w:rPr>
          <w:rFonts w:ascii="Arial" w:hAnsi="Arial" w:cs="Arial"/>
          <w:i/>
          <w:iCs/>
          <w:sz w:val="20"/>
          <w:szCs w:val="20"/>
        </w:rPr>
        <w:t>LAMILUX Produk</w:t>
      </w:r>
      <w:r>
        <w:rPr>
          <w:rFonts w:ascii="Arial" w:hAnsi="Arial" w:cs="Arial"/>
          <w:i/>
          <w:iCs/>
          <w:sz w:val="20"/>
          <w:szCs w:val="20"/>
        </w:rPr>
        <w:t>t</w:t>
      </w:r>
      <w:r w:rsidRPr="002E1D00">
        <w:rPr>
          <w:rFonts w:ascii="Arial" w:hAnsi="Arial" w:cs="Arial"/>
          <w:i/>
          <w:iCs/>
          <w:sz w:val="20"/>
          <w:szCs w:val="20"/>
        </w:rPr>
        <w:t>neuhe</w:t>
      </w:r>
      <w:r>
        <w:rPr>
          <w:rFonts w:ascii="Arial" w:hAnsi="Arial" w:cs="Arial"/>
          <w:i/>
          <w:iCs/>
          <w:sz w:val="20"/>
          <w:szCs w:val="20"/>
        </w:rPr>
        <w:t>i</w:t>
      </w:r>
      <w:r w:rsidRPr="002E1D00">
        <w:rPr>
          <w:rFonts w:ascii="Arial" w:hAnsi="Arial" w:cs="Arial"/>
          <w:i/>
          <w:iCs/>
          <w:sz w:val="20"/>
          <w:szCs w:val="20"/>
        </w:rPr>
        <w:t>t: Der Flachdach Ausstieg Service FE</w:t>
      </w:r>
    </w:p>
    <w:p w14:paraId="6E74184D" w14:textId="77777777" w:rsidR="00FC0E50" w:rsidRDefault="00FC0E50" w:rsidP="00943FE1">
      <w:pPr>
        <w:spacing w:line="360" w:lineRule="auto"/>
        <w:jc w:val="both"/>
        <w:rPr>
          <w:rFonts w:ascii="Arial" w:hAnsi="Arial" w:cs="Arial"/>
          <w:b/>
          <w:bCs/>
        </w:rPr>
      </w:pPr>
    </w:p>
    <w:p w14:paraId="671B4CCD" w14:textId="77777777" w:rsidR="00180E4E" w:rsidRDefault="00180E4E" w:rsidP="00B10D82">
      <w:pPr>
        <w:spacing w:line="360" w:lineRule="auto"/>
        <w:jc w:val="both"/>
        <w:rPr>
          <w:rFonts w:ascii="Arial" w:hAnsi="Arial" w:cs="Arial"/>
          <w:b/>
          <w:bCs/>
        </w:rPr>
      </w:pPr>
      <w:r w:rsidRPr="00180E4E">
        <w:rPr>
          <w:rFonts w:ascii="Arial" w:hAnsi="Arial" w:cs="Arial"/>
          <w:b/>
          <w:bCs/>
        </w:rPr>
        <w:t>Großzügiger Dachzugang für den Servicealltag</w:t>
      </w:r>
    </w:p>
    <w:p w14:paraId="65AC5C06" w14:textId="459B04FE" w:rsidR="00B10D82" w:rsidRPr="00B10D82" w:rsidRDefault="00B10D82" w:rsidP="00B10D82">
      <w:pPr>
        <w:spacing w:line="360" w:lineRule="auto"/>
        <w:jc w:val="both"/>
        <w:rPr>
          <w:rFonts w:ascii="Arial" w:hAnsi="Arial" w:cs="Arial"/>
        </w:rPr>
      </w:pPr>
      <w:r>
        <w:rPr>
          <w:rFonts w:ascii="Arial" w:hAnsi="Arial" w:cs="Arial"/>
        </w:rPr>
        <w:t xml:space="preserve">Wartungen der </w:t>
      </w:r>
      <w:r w:rsidRPr="00B10D82">
        <w:rPr>
          <w:rFonts w:ascii="Arial" w:hAnsi="Arial" w:cs="Arial"/>
        </w:rPr>
        <w:t xml:space="preserve">Photovoltaik, </w:t>
      </w:r>
      <w:r>
        <w:rPr>
          <w:rFonts w:ascii="Arial" w:hAnsi="Arial" w:cs="Arial"/>
        </w:rPr>
        <w:t xml:space="preserve">Pflege des </w:t>
      </w:r>
      <w:r w:rsidRPr="00B10D82">
        <w:rPr>
          <w:rFonts w:ascii="Arial" w:hAnsi="Arial" w:cs="Arial"/>
        </w:rPr>
        <w:t>Gründ</w:t>
      </w:r>
      <w:r>
        <w:rPr>
          <w:rFonts w:ascii="Arial" w:hAnsi="Arial" w:cs="Arial"/>
        </w:rPr>
        <w:t>achs</w:t>
      </w:r>
      <w:r w:rsidRPr="00B10D82">
        <w:rPr>
          <w:rFonts w:ascii="Arial" w:hAnsi="Arial" w:cs="Arial"/>
        </w:rPr>
        <w:t xml:space="preserve"> sowie </w:t>
      </w:r>
      <w:r>
        <w:rPr>
          <w:rFonts w:ascii="Arial" w:hAnsi="Arial" w:cs="Arial"/>
        </w:rPr>
        <w:t xml:space="preserve">Prüfungen der </w:t>
      </w:r>
      <w:r w:rsidRPr="00B10D82">
        <w:rPr>
          <w:rFonts w:ascii="Arial" w:hAnsi="Arial" w:cs="Arial"/>
        </w:rPr>
        <w:t>Lüftungs-, Entrauchungs- und Brandschutzanlagen führen dazu, dass Flachdächer regelmäßig betreten werden müssen. Der sichere Zugang zum Dach wird damit zu einem entscheidenden Faktor für den zuverlässigen Gebäudebetrieb.</w:t>
      </w:r>
    </w:p>
    <w:p w14:paraId="2053480B" w14:textId="4D60A27A" w:rsidR="00B10D82" w:rsidRPr="00B10D82" w:rsidRDefault="00B10D82" w:rsidP="00B10D82">
      <w:pPr>
        <w:spacing w:line="360" w:lineRule="auto"/>
        <w:jc w:val="both"/>
        <w:rPr>
          <w:rFonts w:ascii="Arial" w:hAnsi="Arial" w:cs="Arial"/>
        </w:rPr>
      </w:pPr>
      <w:r w:rsidRPr="00B10D82">
        <w:rPr>
          <w:rFonts w:ascii="Arial" w:hAnsi="Arial" w:cs="Arial"/>
        </w:rPr>
        <w:t xml:space="preserve">Der </w:t>
      </w:r>
      <w:r w:rsidRPr="00B10D82">
        <w:rPr>
          <w:rFonts w:ascii="Arial" w:hAnsi="Arial" w:cs="Arial"/>
          <w:b/>
          <w:bCs/>
        </w:rPr>
        <w:t>LAMILUX Flachdach Ausstieg Service FE</w:t>
      </w:r>
      <w:r w:rsidRPr="00B10D82">
        <w:rPr>
          <w:rFonts w:ascii="Arial" w:hAnsi="Arial" w:cs="Arial"/>
        </w:rPr>
        <w:t xml:space="preserve"> ist genau hierfür konzipiert. Sein großzügiges Format </w:t>
      </w:r>
      <w:r>
        <w:rPr>
          <w:rFonts w:ascii="Arial" w:hAnsi="Arial" w:cs="Arial"/>
        </w:rPr>
        <w:t>von</w:t>
      </w:r>
      <w:r w:rsidR="00C21EB3">
        <w:rPr>
          <w:rFonts w:ascii="Arial" w:hAnsi="Arial" w:cs="Arial"/>
        </w:rPr>
        <w:t xml:space="preserve"> bis zu</w:t>
      </w:r>
      <w:r>
        <w:rPr>
          <w:rFonts w:ascii="Arial" w:hAnsi="Arial" w:cs="Arial"/>
        </w:rPr>
        <w:t xml:space="preserve"> 90 x 300 cm</w:t>
      </w:r>
      <w:r w:rsidR="00E27BBE">
        <w:rPr>
          <w:rFonts w:ascii="Arial" w:hAnsi="Arial" w:cs="Arial"/>
        </w:rPr>
        <w:t xml:space="preserve"> sowie die Öffnung um 80° </w:t>
      </w:r>
      <w:r w:rsidRPr="00B10D82">
        <w:rPr>
          <w:rFonts w:ascii="Arial" w:hAnsi="Arial" w:cs="Arial"/>
        </w:rPr>
        <w:t xml:space="preserve">bietet mehr Bewegungsfreiheit als herkömmliche </w:t>
      </w:r>
      <w:r>
        <w:rPr>
          <w:rFonts w:ascii="Arial" w:hAnsi="Arial" w:cs="Arial"/>
        </w:rPr>
        <w:t xml:space="preserve">Oberlichter </w:t>
      </w:r>
      <w:r w:rsidRPr="00B10D82">
        <w:rPr>
          <w:rFonts w:ascii="Arial" w:hAnsi="Arial" w:cs="Arial"/>
        </w:rPr>
        <w:t>und ermöglicht einen sicheren Übergang vom Gebäude auf die Dachfläche. In Kombination mit einer bauseitigen geraden Treppe – beispielsweise aus einem Treppenhaus – entsteht ein dauerhaft nutzbarer, sicherer Dachzugang, auch für Service- und Wartungspersonal ohne spezielle Dacherfahrung.</w:t>
      </w:r>
      <w:r w:rsidR="00E27BBE">
        <w:rPr>
          <w:rFonts w:ascii="Arial" w:hAnsi="Arial" w:cs="Arial"/>
        </w:rPr>
        <w:t xml:space="preserve"> Ein installiertes </w:t>
      </w:r>
      <w:r w:rsidR="00E27BBE">
        <w:rPr>
          <w:rFonts w:ascii="Arial" w:hAnsi="Arial" w:cs="Arial"/>
        </w:rPr>
        <w:lastRenderedPageBreak/>
        <w:t>Akkupaket sorgt zudem für eine sichere Stromversorgung während Stromausfällen und Notfällen, sodass der Ausstieg hierbei weiterhin möglich ist.</w:t>
      </w:r>
    </w:p>
    <w:p w14:paraId="35FF9D1F" w14:textId="394A2FB4" w:rsidR="00B10D82" w:rsidRDefault="00B10D82" w:rsidP="00B10D82">
      <w:pPr>
        <w:spacing w:line="360" w:lineRule="auto"/>
        <w:jc w:val="both"/>
        <w:rPr>
          <w:rFonts w:ascii="Arial" w:hAnsi="Arial" w:cs="Arial"/>
        </w:rPr>
      </w:pPr>
      <w:r w:rsidRPr="00B10D82">
        <w:rPr>
          <w:rFonts w:ascii="Arial" w:hAnsi="Arial" w:cs="Arial"/>
        </w:rPr>
        <w:t>Dank des großen Öffnungsbereichs</w:t>
      </w:r>
      <w:r>
        <w:rPr>
          <w:rFonts w:ascii="Arial" w:hAnsi="Arial" w:cs="Arial"/>
        </w:rPr>
        <w:t xml:space="preserve"> von bis zu 2,7 </w:t>
      </w:r>
      <w:r w:rsidRPr="00B10D82">
        <w:rPr>
          <w:rFonts w:ascii="Arial" w:hAnsi="Arial" w:cs="Arial"/>
        </w:rPr>
        <w:t>m² lassen sich zudem Werkzeuge, Materialien oder Bauteile wie Photovoltaikmodule oder Grünschnitt einfach transportieren – häufig ohne zusätzlichen Kran.</w:t>
      </w:r>
    </w:p>
    <w:p w14:paraId="5A5961D5" w14:textId="77777777" w:rsidR="002E1D00" w:rsidRDefault="002E1D00" w:rsidP="00B10D82">
      <w:pPr>
        <w:spacing w:line="360" w:lineRule="auto"/>
        <w:jc w:val="both"/>
        <w:rPr>
          <w:rFonts w:ascii="Arial" w:hAnsi="Arial" w:cs="Arial"/>
        </w:rPr>
      </w:pPr>
    </w:p>
    <w:p w14:paraId="6BF0A98C" w14:textId="218B7A39" w:rsidR="002E1D00" w:rsidRDefault="002E1D00" w:rsidP="00B10D82">
      <w:pPr>
        <w:spacing w:line="360" w:lineRule="auto"/>
        <w:jc w:val="both"/>
        <w:rPr>
          <w:rFonts w:ascii="Arial" w:hAnsi="Arial" w:cs="Arial"/>
        </w:rPr>
      </w:pPr>
      <w:r>
        <w:rPr>
          <w:rFonts w:ascii="Arial" w:hAnsi="Arial" w:cs="Arial"/>
          <w:noProof/>
        </w:rPr>
        <w:drawing>
          <wp:inline distT="0" distB="0" distL="0" distR="0" wp14:anchorId="51BE8831" wp14:editId="31FF59D8">
            <wp:extent cx="4848225" cy="2726055"/>
            <wp:effectExtent l="0" t="0" r="9525" b="0"/>
            <wp:docPr id="59284436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48225" cy="2726055"/>
                    </a:xfrm>
                    <a:prstGeom prst="rect">
                      <a:avLst/>
                    </a:prstGeom>
                    <a:noFill/>
                    <a:ln>
                      <a:noFill/>
                    </a:ln>
                  </pic:spPr>
                </pic:pic>
              </a:graphicData>
            </a:graphic>
          </wp:inline>
        </w:drawing>
      </w:r>
    </w:p>
    <w:p w14:paraId="6FA82054" w14:textId="5C00114D" w:rsidR="002E1D00" w:rsidRPr="002E1D00" w:rsidRDefault="002E1D00" w:rsidP="00B10D82">
      <w:pPr>
        <w:spacing w:line="360" w:lineRule="auto"/>
        <w:jc w:val="both"/>
        <w:rPr>
          <w:rFonts w:ascii="Arial" w:hAnsi="Arial" w:cs="Arial"/>
          <w:i/>
          <w:iCs/>
          <w:sz w:val="20"/>
          <w:szCs w:val="20"/>
        </w:rPr>
      </w:pPr>
      <w:r w:rsidRPr="002E1D00">
        <w:rPr>
          <w:rFonts w:ascii="Arial" w:hAnsi="Arial" w:cs="Arial"/>
          <w:i/>
          <w:iCs/>
          <w:sz w:val="20"/>
          <w:szCs w:val="20"/>
        </w:rPr>
        <w:t>Der sichere und mühelose Weg zum Flachdach – dank Flachdach Ausstieg Service FE</w:t>
      </w:r>
    </w:p>
    <w:p w14:paraId="16200CA5" w14:textId="77777777" w:rsidR="00B10D82" w:rsidRDefault="00B10D82" w:rsidP="00943FE1">
      <w:pPr>
        <w:spacing w:line="360" w:lineRule="auto"/>
        <w:jc w:val="both"/>
        <w:rPr>
          <w:rFonts w:ascii="Arial" w:hAnsi="Arial" w:cs="Arial"/>
          <w:b/>
          <w:bCs/>
        </w:rPr>
      </w:pPr>
    </w:p>
    <w:p w14:paraId="238D90AD" w14:textId="77777777" w:rsidR="00180E4E" w:rsidRDefault="00180E4E" w:rsidP="00B10D82">
      <w:pPr>
        <w:spacing w:line="360" w:lineRule="auto"/>
        <w:jc w:val="both"/>
        <w:rPr>
          <w:rFonts w:ascii="Arial" w:hAnsi="Arial" w:cs="Arial"/>
          <w:b/>
          <w:bCs/>
        </w:rPr>
      </w:pPr>
      <w:r w:rsidRPr="00180E4E">
        <w:rPr>
          <w:rFonts w:ascii="Arial" w:hAnsi="Arial" w:cs="Arial"/>
          <w:b/>
          <w:bCs/>
        </w:rPr>
        <w:t>Geprüft für höchste Anforderungen</w:t>
      </w:r>
    </w:p>
    <w:p w14:paraId="21C6C8EA" w14:textId="42A77321" w:rsidR="00B10D82" w:rsidRPr="00B10D82" w:rsidRDefault="00B10D82" w:rsidP="00B10D82">
      <w:pPr>
        <w:spacing w:line="360" w:lineRule="auto"/>
        <w:jc w:val="both"/>
        <w:rPr>
          <w:rFonts w:ascii="Arial" w:hAnsi="Arial" w:cs="Arial"/>
        </w:rPr>
      </w:pPr>
      <w:r w:rsidRPr="00B10D82">
        <w:rPr>
          <w:rFonts w:ascii="Arial" w:hAnsi="Arial" w:cs="Arial"/>
        </w:rPr>
        <w:t>Beim Flachdach Ausstieg Service FE steht Sicherheit im Fokus. Das System erfüllt zentrale baurechtliche Anforderungen</w:t>
      </w:r>
      <w:r w:rsidR="00E27BBE">
        <w:rPr>
          <w:rFonts w:ascii="Arial" w:hAnsi="Arial" w:cs="Arial"/>
        </w:rPr>
        <w:t>, erfüllt die Maschinenrichtlinie gemäß CE</w:t>
      </w:r>
      <w:r w:rsidRPr="00B10D82">
        <w:rPr>
          <w:rFonts w:ascii="Arial" w:hAnsi="Arial" w:cs="Arial"/>
        </w:rPr>
        <w:t xml:space="preserve"> und ist für den dauerhaften Einsatz auf häufig genutzten Dachflächen ausgelegt. Durch die Durchsturzsicherheit im geschlossenen Zustand gemäß DIN 18008-6 sowie die geprüfte Schlagregendichtheit nach DIN EN 1027 (Klasse E) und den hohen </w:t>
      </w:r>
      <w:r w:rsidRPr="00B10D82">
        <w:rPr>
          <w:rFonts w:ascii="Arial" w:hAnsi="Arial" w:cs="Arial"/>
        </w:rPr>
        <w:lastRenderedPageBreak/>
        <w:t>Widerstand gegen Windlasten nach DIN EN 12211 (Klasse C5) bleibt der Dachzugang auch bei anspruchsvollen Witterungsbedingungen zuverlässig und sicher.</w:t>
      </w:r>
    </w:p>
    <w:p w14:paraId="62168F8C" w14:textId="20385629" w:rsidR="00B10D82" w:rsidRDefault="00B10D82" w:rsidP="00B10D82">
      <w:pPr>
        <w:spacing w:line="360" w:lineRule="auto"/>
        <w:jc w:val="both"/>
        <w:rPr>
          <w:rFonts w:ascii="Arial" w:hAnsi="Arial" w:cs="Arial"/>
        </w:rPr>
      </w:pPr>
      <w:r w:rsidRPr="00B10D82">
        <w:rPr>
          <w:rFonts w:ascii="Arial" w:hAnsi="Arial" w:cs="Arial"/>
        </w:rPr>
        <w:t xml:space="preserve">Zur hohen Sicherheits- und Leistungsfähigkeit </w:t>
      </w:r>
      <w:r w:rsidR="00C21EB3">
        <w:rPr>
          <w:rFonts w:ascii="Arial" w:hAnsi="Arial" w:cs="Arial"/>
        </w:rPr>
        <w:t>tragen</w:t>
      </w:r>
      <w:r w:rsidRPr="00B10D82">
        <w:rPr>
          <w:rFonts w:ascii="Arial" w:hAnsi="Arial" w:cs="Arial"/>
        </w:rPr>
        <w:t xml:space="preserve"> zudem die hochwertige Dreifachverglasung</w:t>
      </w:r>
      <w:r w:rsidR="00C21EB3">
        <w:rPr>
          <w:rFonts w:ascii="Arial" w:hAnsi="Arial" w:cs="Arial"/>
        </w:rPr>
        <w:t xml:space="preserve">, der </w:t>
      </w:r>
      <w:r w:rsidR="002E1D00">
        <w:rPr>
          <w:rFonts w:ascii="Arial" w:hAnsi="Arial" w:cs="Arial"/>
        </w:rPr>
        <w:t>robuste</w:t>
      </w:r>
      <w:r w:rsidR="00C21EB3">
        <w:rPr>
          <w:rFonts w:ascii="Arial" w:hAnsi="Arial" w:cs="Arial"/>
        </w:rPr>
        <w:t xml:space="preserve"> Aluminiumrahmen</w:t>
      </w:r>
      <w:r w:rsidRPr="00B10D82">
        <w:rPr>
          <w:rFonts w:ascii="Arial" w:hAnsi="Arial" w:cs="Arial"/>
        </w:rPr>
        <w:t xml:space="preserve"> </w:t>
      </w:r>
      <w:r w:rsidR="00C21EB3">
        <w:rPr>
          <w:rFonts w:ascii="Arial" w:hAnsi="Arial" w:cs="Arial"/>
        </w:rPr>
        <w:t xml:space="preserve">sowie der gedämmte Aufsatzkranz </w:t>
      </w:r>
      <w:r w:rsidRPr="00B10D82">
        <w:rPr>
          <w:rFonts w:ascii="Arial" w:hAnsi="Arial" w:cs="Arial"/>
        </w:rPr>
        <w:t>bei. Sie biete</w:t>
      </w:r>
      <w:r w:rsidR="00C21EB3">
        <w:rPr>
          <w:rFonts w:ascii="Arial" w:hAnsi="Arial" w:cs="Arial"/>
        </w:rPr>
        <w:t>n</w:t>
      </w:r>
      <w:r w:rsidRPr="00B10D82">
        <w:rPr>
          <w:rFonts w:ascii="Arial" w:hAnsi="Arial" w:cs="Arial"/>
        </w:rPr>
        <w:t xml:space="preserve"> hohe Stabilität sowie sehr gute Wärme- und Schalldämmwerte.</w:t>
      </w:r>
    </w:p>
    <w:p w14:paraId="09B6D047" w14:textId="77777777" w:rsidR="00E27BBE" w:rsidRDefault="00E27BBE" w:rsidP="00B10D82">
      <w:pPr>
        <w:spacing w:line="360" w:lineRule="auto"/>
        <w:jc w:val="both"/>
        <w:rPr>
          <w:rFonts w:ascii="Arial" w:hAnsi="Arial" w:cs="Arial"/>
        </w:rPr>
      </w:pPr>
    </w:p>
    <w:p w14:paraId="2AD2A327" w14:textId="36733530" w:rsidR="00180E4E" w:rsidRPr="00180E4E" w:rsidRDefault="00180E4E" w:rsidP="00B10D82">
      <w:pPr>
        <w:spacing w:line="360" w:lineRule="auto"/>
        <w:jc w:val="both"/>
        <w:rPr>
          <w:rFonts w:ascii="Arial" w:hAnsi="Arial" w:cs="Arial"/>
          <w:b/>
          <w:bCs/>
        </w:rPr>
      </w:pPr>
      <w:r w:rsidRPr="00180E4E">
        <w:rPr>
          <w:rFonts w:ascii="Arial" w:hAnsi="Arial" w:cs="Arial"/>
          <w:b/>
          <w:bCs/>
        </w:rPr>
        <w:t>Bereit für die Anforderungen von morgen</w:t>
      </w:r>
    </w:p>
    <w:p w14:paraId="319CBA53" w14:textId="786741BE" w:rsidR="00B10D82" w:rsidRPr="00B10D82" w:rsidRDefault="00B10D82" w:rsidP="00B10D82">
      <w:pPr>
        <w:spacing w:line="360" w:lineRule="auto"/>
        <w:jc w:val="both"/>
        <w:rPr>
          <w:rFonts w:ascii="Arial" w:hAnsi="Arial" w:cs="Arial"/>
        </w:rPr>
      </w:pPr>
      <w:r w:rsidRPr="00B10D82">
        <w:rPr>
          <w:rFonts w:ascii="Arial" w:hAnsi="Arial" w:cs="Arial"/>
        </w:rPr>
        <w:t xml:space="preserve">Ob Photovoltaikpflicht, Anforderungen an den Brandschutz oder zunehmende Dachbegrünung: Gesetzliche Vorgaben und technische Standards machen Dächer zu dauerhaft genutzten Funktionsflächen. Der </w:t>
      </w:r>
      <w:r w:rsidR="002E1D00">
        <w:rPr>
          <w:rFonts w:ascii="Arial" w:hAnsi="Arial" w:cs="Arial"/>
        </w:rPr>
        <w:t xml:space="preserve">LAMILUX </w:t>
      </w:r>
      <w:r w:rsidRPr="00B10D82">
        <w:rPr>
          <w:rFonts w:ascii="Arial" w:hAnsi="Arial" w:cs="Arial"/>
        </w:rPr>
        <w:t>Flachdach Ausstieg Service FE bietet hierfür eine zukunftssichere Lösung, die sich flexibel in unterschiedlichste Gebäudetypen integrieren lässt.</w:t>
      </w:r>
    </w:p>
    <w:p w14:paraId="28FF1520" w14:textId="2C521F5E" w:rsidR="006A6D14" w:rsidRPr="00B10D82" w:rsidRDefault="00B10D82" w:rsidP="00A64B78">
      <w:pPr>
        <w:spacing w:line="360" w:lineRule="auto"/>
        <w:jc w:val="both"/>
        <w:rPr>
          <w:rFonts w:ascii="Arial" w:hAnsi="Arial" w:cs="Arial"/>
        </w:rPr>
      </w:pPr>
      <w:r w:rsidRPr="00B10D82">
        <w:rPr>
          <w:rFonts w:ascii="Arial" w:hAnsi="Arial" w:cs="Arial"/>
        </w:rPr>
        <w:t>Eingesetzt werden kann der Dachausstieg</w:t>
      </w:r>
      <w:r w:rsidR="00C21EB3">
        <w:rPr>
          <w:rFonts w:ascii="Arial" w:hAnsi="Arial" w:cs="Arial"/>
        </w:rPr>
        <w:t xml:space="preserve"> somit</w:t>
      </w:r>
      <w:r w:rsidRPr="00B10D82">
        <w:rPr>
          <w:rFonts w:ascii="Arial" w:hAnsi="Arial" w:cs="Arial"/>
        </w:rPr>
        <w:t xml:space="preserve"> in Wohngebäuden mit genutztem Flachdach und Treppenhaus ebenso wie in öffentlichen Gebäuden, Industrie- und Gewerbebauten. Überall dort, wo Dächer regelmäßig betreten, gewartet oder kontrolliert werden müssen, schafft er einen sicheren, </w:t>
      </w:r>
      <w:r>
        <w:rPr>
          <w:rFonts w:ascii="Arial" w:hAnsi="Arial" w:cs="Arial"/>
        </w:rPr>
        <w:t>mühelosen</w:t>
      </w:r>
      <w:r w:rsidRPr="00B10D82">
        <w:rPr>
          <w:rFonts w:ascii="Arial" w:hAnsi="Arial" w:cs="Arial"/>
        </w:rPr>
        <w:t xml:space="preserve"> und normgerechten Zugang</w:t>
      </w:r>
      <w:r>
        <w:rPr>
          <w:rFonts w:ascii="Arial" w:hAnsi="Arial" w:cs="Arial"/>
        </w:rPr>
        <w:t xml:space="preserve">. Damit </w:t>
      </w:r>
      <w:r w:rsidRPr="00B10D82">
        <w:rPr>
          <w:rFonts w:ascii="Arial" w:hAnsi="Arial" w:cs="Arial"/>
        </w:rPr>
        <w:t xml:space="preserve">unterstützt </w:t>
      </w:r>
      <w:r>
        <w:rPr>
          <w:rFonts w:ascii="Arial" w:hAnsi="Arial" w:cs="Arial"/>
        </w:rPr>
        <w:t>er</w:t>
      </w:r>
      <w:r w:rsidRPr="00B10D82">
        <w:rPr>
          <w:rFonts w:ascii="Arial" w:hAnsi="Arial" w:cs="Arial"/>
        </w:rPr>
        <w:t xml:space="preserve"> den nachhaltigen Betrieb moderner Gebäude.</w:t>
      </w:r>
    </w:p>
    <w:p w14:paraId="6C98C6A5" w14:textId="77777777" w:rsidR="002D7FC1" w:rsidRDefault="002D7FC1" w:rsidP="00A64B78">
      <w:pPr>
        <w:spacing w:line="360" w:lineRule="auto"/>
        <w:jc w:val="both"/>
        <w:rPr>
          <w:rFonts w:ascii="Arial" w:hAnsi="Arial" w:cs="Arial"/>
        </w:rPr>
      </w:pPr>
    </w:p>
    <w:p w14:paraId="3DE668E3" w14:textId="77777777" w:rsidR="00A37674" w:rsidRDefault="00A37674">
      <w:pPr>
        <w:spacing w:after="160" w:line="259" w:lineRule="auto"/>
        <w:rPr>
          <w:rFonts w:ascii="Arial" w:hAnsi="Arial" w:cs="Arial"/>
          <w:b/>
          <w:bCs/>
          <w:sz w:val="22"/>
          <w:szCs w:val="22"/>
        </w:rPr>
      </w:pPr>
      <w:r>
        <w:rPr>
          <w:rFonts w:ascii="Arial" w:hAnsi="Arial" w:cs="Arial"/>
          <w:b/>
          <w:bCs/>
          <w:sz w:val="22"/>
          <w:szCs w:val="22"/>
        </w:rPr>
        <w:br w:type="page"/>
      </w:r>
    </w:p>
    <w:p w14:paraId="7DDF07FB" w14:textId="1729E943" w:rsidR="00637CB0" w:rsidRPr="00907935" w:rsidRDefault="00637CB0" w:rsidP="00637CB0">
      <w:pPr>
        <w:spacing w:line="360" w:lineRule="auto"/>
        <w:jc w:val="both"/>
        <w:rPr>
          <w:rFonts w:ascii="Arial" w:hAnsi="Arial" w:cs="Arial"/>
          <w:b/>
          <w:bCs/>
          <w:sz w:val="22"/>
          <w:szCs w:val="22"/>
        </w:rPr>
      </w:pPr>
      <w:r w:rsidRPr="00907935">
        <w:rPr>
          <w:rFonts w:ascii="Arial" w:hAnsi="Arial" w:cs="Arial"/>
          <w:b/>
          <w:bCs/>
          <w:sz w:val="22"/>
          <w:szCs w:val="22"/>
        </w:rPr>
        <w:lastRenderedPageBreak/>
        <w:t xml:space="preserve">LAMILUX Heinrich Strunz Gruppe, </w:t>
      </w:r>
      <w:proofErr w:type="spellStart"/>
      <w:r w:rsidRPr="00907935">
        <w:rPr>
          <w:rFonts w:ascii="Arial" w:hAnsi="Arial" w:cs="Arial"/>
          <w:b/>
          <w:bCs/>
          <w:sz w:val="22"/>
          <w:szCs w:val="22"/>
        </w:rPr>
        <w:t>Rehau</w:t>
      </w:r>
      <w:proofErr w:type="spellEnd"/>
    </w:p>
    <w:p w14:paraId="70422A68" w14:textId="74BFFCAC" w:rsidR="00637CB0" w:rsidRPr="00907935" w:rsidRDefault="00637CB0" w:rsidP="00637CB0">
      <w:pPr>
        <w:spacing w:line="360" w:lineRule="auto"/>
        <w:jc w:val="both"/>
        <w:rPr>
          <w:rFonts w:ascii="Arial" w:hAnsi="Arial" w:cs="Arial"/>
          <w:sz w:val="22"/>
          <w:szCs w:val="22"/>
        </w:rPr>
      </w:pPr>
      <w:r w:rsidRPr="00907935">
        <w:rPr>
          <w:rFonts w:ascii="Arial" w:hAnsi="Arial" w:cs="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907935">
        <w:rPr>
          <w:rFonts w:ascii="Arial" w:hAnsi="Arial" w:cs="Arial"/>
          <w:sz w:val="22"/>
          <w:szCs w:val="22"/>
        </w:rPr>
        <w:t>Objektentrauchung</w:t>
      </w:r>
      <w:proofErr w:type="spellEnd"/>
      <w:r w:rsidRPr="00907935">
        <w:rPr>
          <w:rFonts w:ascii="Arial" w:hAnsi="Arial" w:cs="Arial"/>
          <w:sz w:val="22"/>
          <w:szCs w:val="22"/>
        </w:rPr>
        <w:t xml:space="preserve"> ist LAMILUX bekannt. Darüber hinaus zählt das 1909 gegründete mittelständische Familienunternehmen zu den weltweit größten Produzenten von </w:t>
      </w:r>
      <w:proofErr w:type="spellStart"/>
      <w:r w:rsidRPr="00907935">
        <w:rPr>
          <w:rFonts w:ascii="Arial" w:hAnsi="Arial" w:cs="Arial"/>
          <w:sz w:val="22"/>
          <w:szCs w:val="22"/>
        </w:rPr>
        <w:t>carbon</w:t>
      </w:r>
      <w:proofErr w:type="spellEnd"/>
      <w:r w:rsidRPr="00907935">
        <w:rPr>
          <w:rFonts w:ascii="Arial" w:hAnsi="Arial" w:cs="Arial"/>
          <w:sz w:val="22"/>
          <w:szCs w:val="22"/>
        </w:rPr>
        <w:t xml:space="preserve">- und glasfaserverstärkten Kunststoffen. Diese Verbundmaterialen sorgen beispielsweise als Dach-, Wand- und Bodenbekleidungen in Nutzfahrzeugen für Stabilität, Leichtbau und Schlagfestigkeit. </w:t>
      </w:r>
      <w:r w:rsidR="00BA1132">
        <w:rPr>
          <w:rFonts w:ascii="Arial" w:hAnsi="Arial" w:cs="Arial"/>
          <w:sz w:val="22"/>
          <w:szCs w:val="22"/>
        </w:rPr>
        <w:t xml:space="preserve">LAMILUX strebt an, Innovationsführer und Leistungsführer in allen für die Kunden relevanten Bereichen zu sein. </w:t>
      </w:r>
      <w:r w:rsidRPr="00907935">
        <w:rPr>
          <w:rFonts w:ascii="Arial" w:hAnsi="Arial" w:cs="Arial"/>
          <w:sz w:val="22"/>
          <w:szCs w:val="22"/>
        </w:rPr>
        <w:t xml:space="preserve">Das Familienunternehmen mit Sitz in </w:t>
      </w:r>
      <w:proofErr w:type="spellStart"/>
      <w:r w:rsidRPr="00907935">
        <w:rPr>
          <w:rFonts w:ascii="Arial" w:hAnsi="Arial" w:cs="Arial"/>
          <w:sz w:val="22"/>
          <w:szCs w:val="22"/>
        </w:rPr>
        <w:t>Rehau</w:t>
      </w:r>
      <w:proofErr w:type="spellEnd"/>
      <w:r>
        <w:rPr>
          <w:rFonts w:ascii="Arial" w:hAnsi="Arial" w:cs="Arial"/>
          <w:sz w:val="22"/>
          <w:szCs w:val="22"/>
        </w:rPr>
        <w:t xml:space="preserve"> </w:t>
      </w:r>
      <w:r w:rsidRPr="00907935">
        <w:rPr>
          <w:rFonts w:ascii="Arial" w:hAnsi="Arial" w:cs="Arial"/>
          <w:sz w:val="22"/>
          <w:szCs w:val="22"/>
        </w:rPr>
        <w:t>wird von Johanna</w:t>
      </w:r>
      <w:r w:rsidR="003374E1">
        <w:rPr>
          <w:rFonts w:ascii="Arial" w:hAnsi="Arial" w:cs="Arial"/>
          <w:sz w:val="22"/>
          <w:szCs w:val="22"/>
        </w:rPr>
        <w:t xml:space="preserve">, </w:t>
      </w:r>
      <w:r w:rsidRPr="00907935">
        <w:rPr>
          <w:rFonts w:ascii="Arial" w:hAnsi="Arial" w:cs="Arial"/>
          <w:sz w:val="22"/>
          <w:szCs w:val="22"/>
        </w:rPr>
        <w:t xml:space="preserve">Dr. Alexander </w:t>
      </w:r>
      <w:r w:rsidR="00103633">
        <w:rPr>
          <w:rFonts w:ascii="Arial" w:hAnsi="Arial" w:cs="Arial"/>
          <w:sz w:val="22"/>
          <w:szCs w:val="22"/>
        </w:rPr>
        <w:t>und</w:t>
      </w:r>
      <w:r w:rsidR="003374E1">
        <w:rPr>
          <w:rFonts w:ascii="Arial" w:hAnsi="Arial" w:cs="Arial"/>
          <w:sz w:val="22"/>
          <w:szCs w:val="22"/>
        </w:rPr>
        <w:t xml:space="preserve"> Dr. Sophia </w:t>
      </w:r>
      <w:r w:rsidRPr="00907935">
        <w:rPr>
          <w:rFonts w:ascii="Arial" w:hAnsi="Arial" w:cs="Arial"/>
          <w:sz w:val="22"/>
          <w:szCs w:val="22"/>
        </w:rPr>
        <w:t>Strunz in vierter Generation geführt, beschäftigt derzeit rund 1300 Mitarbeiterinnen und Mitarbeiter und hat 202</w:t>
      </w:r>
      <w:r w:rsidR="00280C35">
        <w:rPr>
          <w:rFonts w:ascii="Arial" w:hAnsi="Arial" w:cs="Arial"/>
          <w:sz w:val="22"/>
          <w:szCs w:val="22"/>
        </w:rPr>
        <w:t>4</w:t>
      </w:r>
      <w:r w:rsidRPr="00907935">
        <w:rPr>
          <w:rFonts w:ascii="Arial" w:hAnsi="Arial" w:cs="Arial"/>
          <w:sz w:val="22"/>
          <w:szCs w:val="22"/>
        </w:rPr>
        <w:t xml:space="preserve"> einen Umsatz von rund 3</w:t>
      </w:r>
      <w:r w:rsidR="00280C35">
        <w:rPr>
          <w:rFonts w:ascii="Arial" w:hAnsi="Arial" w:cs="Arial"/>
          <w:sz w:val="22"/>
          <w:szCs w:val="22"/>
        </w:rPr>
        <w:t>57</w:t>
      </w:r>
      <w:r w:rsidRPr="00907935">
        <w:rPr>
          <w:rFonts w:ascii="Arial" w:hAnsi="Arial" w:cs="Arial"/>
          <w:sz w:val="22"/>
          <w:szCs w:val="22"/>
        </w:rPr>
        <w:t xml:space="preserve"> Millionen Euro erzielt.</w:t>
      </w:r>
    </w:p>
    <w:p w14:paraId="411422D2" w14:textId="17058507" w:rsidR="00E22333" w:rsidRPr="00D90451" w:rsidRDefault="00E22333" w:rsidP="00172B9E">
      <w:pPr>
        <w:spacing w:line="360" w:lineRule="auto"/>
        <w:jc w:val="both"/>
        <w:rPr>
          <w:rFonts w:ascii="Arial" w:hAnsi="Arial" w:cs="Arial"/>
          <w:sz w:val="22"/>
          <w:szCs w:val="22"/>
        </w:rPr>
      </w:pPr>
    </w:p>
    <w:sectPr w:rsidR="00E22333" w:rsidRPr="00D90451"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67531" w14:textId="77777777" w:rsidR="00CB0208" w:rsidRDefault="00CB0208" w:rsidP="00D52FF7">
      <w:r>
        <w:separator/>
      </w:r>
    </w:p>
  </w:endnote>
  <w:endnote w:type="continuationSeparator" w:id="0">
    <w:p w14:paraId="088F22E9" w14:textId="77777777" w:rsidR="00CB0208" w:rsidRDefault="00CB0208"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7F2652"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7F2652" w:rsidRPr="00123815" w:rsidRDefault="007F2652" w:rsidP="001A2540">
    <w:pPr>
      <w:pStyle w:val="Fuzeile"/>
      <w:rPr>
        <w:rFonts w:ascii="Arial" w:hAnsi="Arial" w:cs="Arial"/>
        <w:color w:val="A6A6A6" w:themeColor="background1" w:themeShade="A6"/>
        <w:sz w:val="16"/>
      </w:rPr>
    </w:pPr>
  </w:p>
  <w:p w14:paraId="6B96A9F6" w14:textId="457001FA" w:rsidR="007F2652"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731E9851" w:rsidR="007F2652" w:rsidRPr="00123815" w:rsidRDefault="008A2015"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Celine Hofmann</w:t>
    </w:r>
  </w:p>
  <w:p w14:paraId="2C9C7E1E" w14:textId="0B3ACECD" w:rsidR="007F2652"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Presse- und Öffentlichkeitsarbeit</w:t>
    </w:r>
  </w:p>
  <w:p w14:paraId="12EA072D" w14:textId="5FB58E38" w:rsidR="007F2652"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 xml:space="preserve">95111 </w:t>
    </w:r>
    <w:proofErr w:type="spellStart"/>
    <w:r w:rsidRPr="00123815">
      <w:rPr>
        <w:rFonts w:ascii="Arial" w:hAnsi="Arial" w:cs="Arial"/>
        <w:color w:val="A6A6A6" w:themeColor="background1" w:themeShade="A6"/>
        <w:sz w:val="16"/>
      </w:rPr>
      <w:t>Rehau</w:t>
    </w:r>
    <w:proofErr w:type="spellEnd"/>
  </w:p>
  <w:p w14:paraId="3721FAA7" w14:textId="77777777" w:rsidR="007F2652" w:rsidRPr="00123815" w:rsidRDefault="007F2652" w:rsidP="001A2540">
    <w:pPr>
      <w:pStyle w:val="Fuzeile"/>
      <w:rPr>
        <w:rFonts w:ascii="Arial" w:hAnsi="Arial" w:cs="Arial"/>
        <w:color w:val="A6A6A6" w:themeColor="background1" w:themeShade="A6"/>
        <w:sz w:val="16"/>
      </w:rPr>
    </w:pPr>
  </w:p>
  <w:p w14:paraId="2D99A013" w14:textId="5766E5BF" w:rsidR="007F2652"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Tel.: </w:t>
    </w:r>
    <w:r w:rsidR="00FC413C" w:rsidRPr="00FC413C">
      <w:rPr>
        <w:rFonts w:ascii="Arial" w:hAnsi="Arial" w:cs="Arial"/>
        <w:color w:val="A6A6A6" w:themeColor="background1" w:themeShade="A6"/>
        <w:sz w:val="16"/>
      </w:rPr>
      <w:t>+49</w:t>
    </w:r>
    <w:r w:rsidR="0097289C">
      <w:rPr>
        <w:rFonts w:ascii="Arial" w:hAnsi="Arial" w:cs="Arial"/>
        <w:color w:val="A6A6A6" w:themeColor="background1" w:themeShade="A6"/>
        <w:sz w:val="16"/>
      </w:rPr>
      <w:t xml:space="preserve"> 9283 595-3818</w:t>
    </w:r>
  </w:p>
  <w:p w14:paraId="5D9FEDD7" w14:textId="7379A108" w:rsidR="007F2652"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8A2015">
      <w:rPr>
        <w:rFonts w:ascii="Arial" w:hAnsi="Arial" w:cs="Arial"/>
        <w:color w:val="A6A6A6" w:themeColor="background1" w:themeShade="A6"/>
        <w:sz w:val="16"/>
      </w:rPr>
      <w:t>celine.hofmann</w:t>
    </w:r>
    <w:r w:rsidRPr="00123815">
      <w:rPr>
        <w:rFonts w:ascii="Arial" w:hAnsi="Arial" w:cs="Arial"/>
        <w:color w:val="A6A6A6" w:themeColor="background1" w:themeShade="A6"/>
        <w:sz w:val="16"/>
      </w:rPr>
      <w:t>@lamilux.de</w:t>
    </w:r>
  </w:p>
  <w:p w14:paraId="5B743655" w14:textId="77777777" w:rsidR="007F2652"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500F2" w14:textId="77777777" w:rsidR="00CB0208" w:rsidRDefault="00CB0208" w:rsidP="00D52FF7">
      <w:r>
        <w:separator/>
      </w:r>
    </w:p>
  </w:footnote>
  <w:footnote w:type="continuationSeparator" w:id="0">
    <w:p w14:paraId="236F07C0" w14:textId="77777777" w:rsidR="00CB0208" w:rsidRDefault="00CB0208"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3EF24109"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BE702A">
      <w:rPr>
        <w:rFonts w:ascii="Arial" w:hAnsi="Arial" w:cs="Arial"/>
      </w:rPr>
      <w:t>März</w:t>
    </w:r>
    <w:r w:rsidR="00E22333">
      <w:rPr>
        <w:rFonts w:ascii="Arial" w:hAnsi="Arial" w:cs="Arial"/>
      </w:rPr>
      <w:t xml:space="preserve"> 202</w:t>
    </w:r>
    <w:r w:rsidR="00F511EC">
      <w:rPr>
        <w:rFonts w:ascii="Arial" w:hAnsi="Arial" w:cs="Arial"/>
      </w:rPr>
      <w:t>6</w:t>
    </w:r>
  </w:p>
  <w:p w14:paraId="549B2A5E" w14:textId="77777777" w:rsidR="00056167" w:rsidRDefault="00056167">
    <w:pPr>
      <w:pStyle w:val="Kopfzeile"/>
      <w:rPr>
        <w:rFonts w:ascii="Arial" w:hAnsi="Arial" w:cs="Arial"/>
      </w:rPr>
    </w:pPr>
  </w:p>
  <w:p w14:paraId="59F9D09A" w14:textId="38F3FF19" w:rsidR="007F2652" w:rsidRDefault="007F2652">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07317"/>
    <w:rsid w:val="000147ED"/>
    <w:rsid w:val="0002004A"/>
    <w:rsid w:val="0002473A"/>
    <w:rsid w:val="00052523"/>
    <w:rsid w:val="00056167"/>
    <w:rsid w:val="00060BC4"/>
    <w:rsid w:val="00062629"/>
    <w:rsid w:val="00064CE6"/>
    <w:rsid w:val="000677D7"/>
    <w:rsid w:val="00072172"/>
    <w:rsid w:val="00080CA8"/>
    <w:rsid w:val="00085551"/>
    <w:rsid w:val="00086CF8"/>
    <w:rsid w:val="000A23F6"/>
    <w:rsid w:val="000C2B7C"/>
    <w:rsid w:val="000C559E"/>
    <w:rsid w:val="000D27A2"/>
    <w:rsid w:val="000F14A4"/>
    <w:rsid w:val="000F77A3"/>
    <w:rsid w:val="00103633"/>
    <w:rsid w:val="00103AA4"/>
    <w:rsid w:val="00115807"/>
    <w:rsid w:val="001202F0"/>
    <w:rsid w:val="00123815"/>
    <w:rsid w:val="0013140D"/>
    <w:rsid w:val="00133793"/>
    <w:rsid w:val="00133A37"/>
    <w:rsid w:val="00136660"/>
    <w:rsid w:val="0013787B"/>
    <w:rsid w:val="00137FE0"/>
    <w:rsid w:val="0015277D"/>
    <w:rsid w:val="00154757"/>
    <w:rsid w:val="00155270"/>
    <w:rsid w:val="00157050"/>
    <w:rsid w:val="00160915"/>
    <w:rsid w:val="001651E0"/>
    <w:rsid w:val="001662CB"/>
    <w:rsid w:val="00172B9E"/>
    <w:rsid w:val="00180E4E"/>
    <w:rsid w:val="00182B58"/>
    <w:rsid w:val="00182F4E"/>
    <w:rsid w:val="00196946"/>
    <w:rsid w:val="001A311E"/>
    <w:rsid w:val="001A49BD"/>
    <w:rsid w:val="001A6AA2"/>
    <w:rsid w:val="001B3C93"/>
    <w:rsid w:val="001C0E04"/>
    <w:rsid w:val="001D0D1F"/>
    <w:rsid w:val="001D224F"/>
    <w:rsid w:val="001E14A6"/>
    <w:rsid w:val="001E31F0"/>
    <w:rsid w:val="001E654C"/>
    <w:rsid w:val="001F484A"/>
    <w:rsid w:val="001F6D1A"/>
    <w:rsid w:val="002001B5"/>
    <w:rsid w:val="00215F11"/>
    <w:rsid w:val="0021661B"/>
    <w:rsid w:val="00224D18"/>
    <w:rsid w:val="00233A1B"/>
    <w:rsid w:val="00242662"/>
    <w:rsid w:val="0024530A"/>
    <w:rsid w:val="002477B1"/>
    <w:rsid w:val="00250271"/>
    <w:rsid w:val="00256BC5"/>
    <w:rsid w:val="00260A16"/>
    <w:rsid w:val="00262466"/>
    <w:rsid w:val="00263E2E"/>
    <w:rsid w:val="0026560F"/>
    <w:rsid w:val="00266FC6"/>
    <w:rsid w:val="00273D54"/>
    <w:rsid w:val="0027571B"/>
    <w:rsid w:val="00280290"/>
    <w:rsid w:val="00280C35"/>
    <w:rsid w:val="00291215"/>
    <w:rsid w:val="002973FF"/>
    <w:rsid w:val="00297D1B"/>
    <w:rsid w:val="00297F1E"/>
    <w:rsid w:val="002A24DC"/>
    <w:rsid w:val="002A27EA"/>
    <w:rsid w:val="002A373B"/>
    <w:rsid w:val="002A6E40"/>
    <w:rsid w:val="002B10FF"/>
    <w:rsid w:val="002B1DC2"/>
    <w:rsid w:val="002B2607"/>
    <w:rsid w:val="002B35BD"/>
    <w:rsid w:val="002B378A"/>
    <w:rsid w:val="002C634D"/>
    <w:rsid w:val="002D5624"/>
    <w:rsid w:val="002D56C6"/>
    <w:rsid w:val="002D7FC1"/>
    <w:rsid w:val="002E1D00"/>
    <w:rsid w:val="002F311B"/>
    <w:rsid w:val="00302D48"/>
    <w:rsid w:val="00305675"/>
    <w:rsid w:val="003234CE"/>
    <w:rsid w:val="003274D7"/>
    <w:rsid w:val="003312A7"/>
    <w:rsid w:val="003374E1"/>
    <w:rsid w:val="00340673"/>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9282E"/>
    <w:rsid w:val="003A1A79"/>
    <w:rsid w:val="003A7ABB"/>
    <w:rsid w:val="003A7B55"/>
    <w:rsid w:val="003A7C31"/>
    <w:rsid w:val="003A7F49"/>
    <w:rsid w:val="003B4AAB"/>
    <w:rsid w:val="003B508F"/>
    <w:rsid w:val="003B571A"/>
    <w:rsid w:val="003B65B0"/>
    <w:rsid w:val="003C17EA"/>
    <w:rsid w:val="003C647D"/>
    <w:rsid w:val="003C73D2"/>
    <w:rsid w:val="003E683C"/>
    <w:rsid w:val="00401883"/>
    <w:rsid w:val="00402BDE"/>
    <w:rsid w:val="0040391C"/>
    <w:rsid w:val="004067DD"/>
    <w:rsid w:val="00411068"/>
    <w:rsid w:val="00423556"/>
    <w:rsid w:val="004353BF"/>
    <w:rsid w:val="004366F4"/>
    <w:rsid w:val="00437C23"/>
    <w:rsid w:val="0044025A"/>
    <w:rsid w:val="00442774"/>
    <w:rsid w:val="004507B4"/>
    <w:rsid w:val="0045419E"/>
    <w:rsid w:val="00455774"/>
    <w:rsid w:val="0046080D"/>
    <w:rsid w:val="00460D05"/>
    <w:rsid w:val="004664EE"/>
    <w:rsid w:val="004671C5"/>
    <w:rsid w:val="00477FA1"/>
    <w:rsid w:val="00483EBD"/>
    <w:rsid w:val="004843F3"/>
    <w:rsid w:val="00491C64"/>
    <w:rsid w:val="00491FDB"/>
    <w:rsid w:val="00497177"/>
    <w:rsid w:val="004A4455"/>
    <w:rsid w:val="004B046F"/>
    <w:rsid w:val="004B04C7"/>
    <w:rsid w:val="004B340A"/>
    <w:rsid w:val="004C4972"/>
    <w:rsid w:val="004C76A8"/>
    <w:rsid w:val="004E079E"/>
    <w:rsid w:val="004E0AC9"/>
    <w:rsid w:val="004E49C1"/>
    <w:rsid w:val="004F2009"/>
    <w:rsid w:val="004F596F"/>
    <w:rsid w:val="00500234"/>
    <w:rsid w:val="005075C4"/>
    <w:rsid w:val="00521744"/>
    <w:rsid w:val="00524852"/>
    <w:rsid w:val="005363AE"/>
    <w:rsid w:val="00554207"/>
    <w:rsid w:val="00557B1E"/>
    <w:rsid w:val="00560A6B"/>
    <w:rsid w:val="005620EB"/>
    <w:rsid w:val="00573478"/>
    <w:rsid w:val="0058298C"/>
    <w:rsid w:val="00584198"/>
    <w:rsid w:val="00586C6F"/>
    <w:rsid w:val="00590732"/>
    <w:rsid w:val="00594A52"/>
    <w:rsid w:val="0059530D"/>
    <w:rsid w:val="005961C2"/>
    <w:rsid w:val="005A2FA3"/>
    <w:rsid w:val="005A3599"/>
    <w:rsid w:val="005B1218"/>
    <w:rsid w:val="005B50F9"/>
    <w:rsid w:val="005B54D3"/>
    <w:rsid w:val="005C0943"/>
    <w:rsid w:val="005C7F11"/>
    <w:rsid w:val="005D4B5D"/>
    <w:rsid w:val="005D4F98"/>
    <w:rsid w:val="005D57E4"/>
    <w:rsid w:val="005D7110"/>
    <w:rsid w:val="005D719D"/>
    <w:rsid w:val="005E25E9"/>
    <w:rsid w:val="005E7EE0"/>
    <w:rsid w:val="00606173"/>
    <w:rsid w:val="0061372F"/>
    <w:rsid w:val="00620C52"/>
    <w:rsid w:val="006221BB"/>
    <w:rsid w:val="006236DC"/>
    <w:rsid w:val="006260B5"/>
    <w:rsid w:val="00630BD9"/>
    <w:rsid w:val="00632818"/>
    <w:rsid w:val="00634549"/>
    <w:rsid w:val="00637CB0"/>
    <w:rsid w:val="006504E5"/>
    <w:rsid w:val="00661C3E"/>
    <w:rsid w:val="00672C26"/>
    <w:rsid w:val="006876EE"/>
    <w:rsid w:val="006905D0"/>
    <w:rsid w:val="00697CE7"/>
    <w:rsid w:val="006A25BE"/>
    <w:rsid w:val="006A6D14"/>
    <w:rsid w:val="006B4689"/>
    <w:rsid w:val="006B4902"/>
    <w:rsid w:val="006B5296"/>
    <w:rsid w:val="006B6879"/>
    <w:rsid w:val="006C2043"/>
    <w:rsid w:val="006C32FE"/>
    <w:rsid w:val="006C7C4D"/>
    <w:rsid w:val="006D0853"/>
    <w:rsid w:val="006D421C"/>
    <w:rsid w:val="006D505E"/>
    <w:rsid w:val="007215FB"/>
    <w:rsid w:val="00724A6B"/>
    <w:rsid w:val="00731591"/>
    <w:rsid w:val="00744DD2"/>
    <w:rsid w:val="00750728"/>
    <w:rsid w:val="00751907"/>
    <w:rsid w:val="00753C46"/>
    <w:rsid w:val="00755CED"/>
    <w:rsid w:val="00755E6A"/>
    <w:rsid w:val="00757C12"/>
    <w:rsid w:val="00761767"/>
    <w:rsid w:val="00764350"/>
    <w:rsid w:val="0077420A"/>
    <w:rsid w:val="00783661"/>
    <w:rsid w:val="0079159D"/>
    <w:rsid w:val="00793BD5"/>
    <w:rsid w:val="00795D07"/>
    <w:rsid w:val="00796CD2"/>
    <w:rsid w:val="007B1865"/>
    <w:rsid w:val="007B1A76"/>
    <w:rsid w:val="007C164D"/>
    <w:rsid w:val="007C4273"/>
    <w:rsid w:val="007C6052"/>
    <w:rsid w:val="007D677D"/>
    <w:rsid w:val="007E0C13"/>
    <w:rsid w:val="007E5C62"/>
    <w:rsid w:val="007F2652"/>
    <w:rsid w:val="007F2897"/>
    <w:rsid w:val="00800556"/>
    <w:rsid w:val="008051B0"/>
    <w:rsid w:val="008128E9"/>
    <w:rsid w:val="00815E7C"/>
    <w:rsid w:val="00820876"/>
    <w:rsid w:val="00824079"/>
    <w:rsid w:val="00824B49"/>
    <w:rsid w:val="00830831"/>
    <w:rsid w:val="00832DEF"/>
    <w:rsid w:val="00842617"/>
    <w:rsid w:val="00842D74"/>
    <w:rsid w:val="00847412"/>
    <w:rsid w:val="0086446A"/>
    <w:rsid w:val="008726D8"/>
    <w:rsid w:val="00874044"/>
    <w:rsid w:val="00883276"/>
    <w:rsid w:val="00885B0B"/>
    <w:rsid w:val="008A2015"/>
    <w:rsid w:val="008B3D98"/>
    <w:rsid w:val="008D0BD1"/>
    <w:rsid w:val="008D172E"/>
    <w:rsid w:val="008D3F6E"/>
    <w:rsid w:val="008D58B4"/>
    <w:rsid w:val="008D6A0C"/>
    <w:rsid w:val="008E220A"/>
    <w:rsid w:val="008E66E4"/>
    <w:rsid w:val="008E6F6A"/>
    <w:rsid w:val="008E7967"/>
    <w:rsid w:val="008F24F5"/>
    <w:rsid w:val="00900115"/>
    <w:rsid w:val="009014C0"/>
    <w:rsid w:val="009107C6"/>
    <w:rsid w:val="009161C2"/>
    <w:rsid w:val="00917F25"/>
    <w:rsid w:val="009225A7"/>
    <w:rsid w:val="0092338E"/>
    <w:rsid w:val="009242B2"/>
    <w:rsid w:val="00925760"/>
    <w:rsid w:val="00930C5B"/>
    <w:rsid w:val="00937614"/>
    <w:rsid w:val="00943FE1"/>
    <w:rsid w:val="009461B5"/>
    <w:rsid w:val="009518A3"/>
    <w:rsid w:val="00955805"/>
    <w:rsid w:val="00956C7A"/>
    <w:rsid w:val="009666A6"/>
    <w:rsid w:val="00971DF7"/>
    <w:rsid w:val="00972419"/>
    <w:rsid w:val="0097289C"/>
    <w:rsid w:val="00972EAE"/>
    <w:rsid w:val="00975145"/>
    <w:rsid w:val="00975A39"/>
    <w:rsid w:val="009760A1"/>
    <w:rsid w:val="00976B22"/>
    <w:rsid w:val="00981024"/>
    <w:rsid w:val="00982081"/>
    <w:rsid w:val="009838A6"/>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37674"/>
    <w:rsid w:val="00A450AC"/>
    <w:rsid w:val="00A45214"/>
    <w:rsid w:val="00A46C13"/>
    <w:rsid w:val="00A46FC6"/>
    <w:rsid w:val="00A474A8"/>
    <w:rsid w:val="00A476A6"/>
    <w:rsid w:val="00A64B78"/>
    <w:rsid w:val="00A65D28"/>
    <w:rsid w:val="00A740FB"/>
    <w:rsid w:val="00A81808"/>
    <w:rsid w:val="00A97D5A"/>
    <w:rsid w:val="00AA197F"/>
    <w:rsid w:val="00AB2ED5"/>
    <w:rsid w:val="00AC19F6"/>
    <w:rsid w:val="00AC36BF"/>
    <w:rsid w:val="00AD7EAE"/>
    <w:rsid w:val="00AE0976"/>
    <w:rsid w:val="00AF42F1"/>
    <w:rsid w:val="00B10D82"/>
    <w:rsid w:val="00B13199"/>
    <w:rsid w:val="00B15ED4"/>
    <w:rsid w:val="00B213D6"/>
    <w:rsid w:val="00B362C6"/>
    <w:rsid w:val="00B40F5A"/>
    <w:rsid w:val="00B51434"/>
    <w:rsid w:val="00B51FDD"/>
    <w:rsid w:val="00B53882"/>
    <w:rsid w:val="00B5561C"/>
    <w:rsid w:val="00B56E45"/>
    <w:rsid w:val="00B67E12"/>
    <w:rsid w:val="00BA1132"/>
    <w:rsid w:val="00BB47EB"/>
    <w:rsid w:val="00BC09D4"/>
    <w:rsid w:val="00BD0C54"/>
    <w:rsid w:val="00BD1638"/>
    <w:rsid w:val="00BD4B20"/>
    <w:rsid w:val="00BD7388"/>
    <w:rsid w:val="00BE4E7B"/>
    <w:rsid w:val="00BE702A"/>
    <w:rsid w:val="00BF2589"/>
    <w:rsid w:val="00BF60E7"/>
    <w:rsid w:val="00C007E9"/>
    <w:rsid w:val="00C04799"/>
    <w:rsid w:val="00C056E0"/>
    <w:rsid w:val="00C21EB3"/>
    <w:rsid w:val="00C30AAF"/>
    <w:rsid w:val="00C349C2"/>
    <w:rsid w:val="00C42648"/>
    <w:rsid w:val="00C50810"/>
    <w:rsid w:val="00C51744"/>
    <w:rsid w:val="00C5783A"/>
    <w:rsid w:val="00C64692"/>
    <w:rsid w:val="00C6729F"/>
    <w:rsid w:val="00C816E8"/>
    <w:rsid w:val="00C84EB7"/>
    <w:rsid w:val="00C94BE4"/>
    <w:rsid w:val="00CB0208"/>
    <w:rsid w:val="00CB1CC7"/>
    <w:rsid w:val="00CB41B6"/>
    <w:rsid w:val="00CB553C"/>
    <w:rsid w:val="00CB6D8B"/>
    <w:rsid w:val="00CC012A"/>
    <w:rsid w:val="00CC3B1B"/>
    <w:rsid w:val="00CC7B82"/>
    <w:rsid w:val="00CD07E6"/>
    <w:rsid w:val="00CD16BC"/>
    <w:rsid w:val="00CD3F3A"/>
    <w:rsid w:val="00CE0D56"/>
    <w:rsid w:val="00CE7120"/>
    <w:rsid w:val="00CF154E"/>
    <w:rsid w:val="00CF6903"/>
    <w:rsid w:val="00CF6FCA"/>
    <w:rsid w:val="00D1701D"/>
    <w:rsid w:val="00D230C7"/>
    <w:rsid w:val="00D2343F"/>
    <w:rsid w:val="00D23F47"/>
    <w:rsid w:val="00D319B3"/>
    <w:rsid w:val="00D32787"/>
    <w:rsid w:val="00D336D8"/>
    <w:rsid w:val="00D35DDE"/>
    <w:rsid w:val="00D507EF"/>
    <w:rsid w:val="00D52FF7"/>
    <w:rsid w:val="00D55DB8"/>
    <w:rsid w:val="00D61496"/>
    <w:rsid w:val="00D70CA8"/>
    <w:rsid w:val="00D746E3"/>
    <w:rsid w:val="00D861BD"/>
    <w:rsid w:val="00D90451"/>
    <w:rsid w:val="00D9247C"/>
    <w:rsid w:val="00D96EB7"/>
    <w:rsid w:val="00DA269D"/>
    <w:rsid w:val="00DA2EAB"/>
    <w:rsid w:val="00DA5C0A"/>
    <w:rsid w:val="00DA6241"/>
    <w:rsid w:val="00DB104A"/>
    <w:rsid w:val="00DB115B"/>
    <w:rsid w:val="00DB3D05"/>
    <w:rsid w:val="00DB40B6"/>
    <w:rsid w:val="00DB5C6D"/>
    <w:rsid w:val="00DC1DB1"/>
    <w:rsid w:val="00DD1675"/>
    <w:rsid w:val="00DD5388"/>
    <w:rsid w:val="00DE71A6"/>
    <w:rsid w:val="00DF494F"/>
    <w:rsid w:val="00DF59D8"/>
    <w:rsid w:val="00DF5D26"/>
    <w:rsid w:val="00E0256C"/>
    <w:rsid w:val="00E06F6B"/>
    <w:rsid w:val="00E12D17"/>
    <w:rsid w:val="00E16486"/>
    <w:rsid w:val="00E22333"/>
    <w:rsid w:val="00E23AC9"/>
    <w:rsid w:val="00E23E62"/>
    <w:rsid w:val="00E23E6D"/>
    <w:rsid w:val="00E246FE"/>
    <w:rsid w:val="00E25423"/>
    <w:rsid w:val="00E25DBA"/>
    <w:rsid w:val="00E27064"/>
    <w:rsid w:val="00E27BBE"/>
    <w:rsid w:val="00E33168"/>
    <w:rsid w:val="00E37118"/>
    <w:rsid w:val="00E43EFF"/>
    <w:rsid w:val="00E440DA"/>
    <w:rsid w:val="00E50734"/>
    <w:rsid w:val="00E53433"/>
    <w:rsid w:val="00E608B6"/>
    <w:rsid w:val="00E63FE8"/>
    <w:rsid w:val="00E64C32"/>
    <w:rsid w:val="00E7003F"/>
    <w:rsid w:val="00E710A4"/>
    <w:rsid w:val="00E724E6"/>
    <w:rsid w:val="00E72FAA"/>
    <w:rsid w:val="00E73B03"/>
    <w:rsid w:val="00E77CDA"/>
    <w:rsid w:val="00E859DD"/>
    <w:rsid w:val="00E85D1F"/>
    <w:rsid w:val="00E92649"/>
    <w:rsid w:val="00EA32C7"/>
    <w:rsid w:val="00EA6F9F"/>
    <w:rsid w:val="00EB68AD"/>
    <w:rsid w:val="00ED17FE"/>
    <w:rsid w:val="00ED1D2F"/>
    <w:rsid w:val="00ED1ECA"/>
    <w:rsid w:val="00EE049D"/>
    <w:rsid w:val="00EE2D68"/>
    <w:rsid w:val="00EE661A"/>
    <w:rsid w:val="00EF015A"/>
    <w:rsid w:val="00EF419C"/>
    <w:rsid w:val="00EF74DE"/>
    <w:rsid w:val="00F11C67"/>
    <w:rsid w:val="00F136F5"/>
    <w:rsid w:val="00F14785"/>
    <w:rsid w:val="00F15EBA"/>
    <w:rsid w:val="00F209EE"/>
    <w:rsid w:val="00F269C2"/>
    <w:rsid w:val="00F32101"/>
    <w:rsid w:val="00F35544"/>
    <w:rsid w:val="00F40A6A"/>
    <w:rsid w:val="00F44EF5"/>
    <w:rsid w:val="00F511EC"/>
    <w:rsid w:val="00F63DB0"/>
    <w:rsid w:val="00F65CE8"/>
    <w:rsid w:val="00F703B5"/>
    <w:rsid w:val="00F70511"/>
    <w:rsid w:val="00F766A9"/>
    <w:rsid w:val="00F82E6C"/>
    <w:rsid w:val="00F93A77"/>
    <w:rsid w:val="00F94534"/>
    <w:rsid w:val="00F96EC7"/>
    <w:rsid w:val="00FA2D59"/>
    <w:rsid w:val="00FA63DD"/>
    <w:rsid w:val="00FA71F3"/>
    <w:rsid w:val="00FB3C12"/>
    <w:rsid w:val="00FB6222"/>
    <w:rsid w:val="00FC00C6"/>
    <w:rsid w:val="00FC0E50"/>
    <w:rsid w:val="00FC1840"/>
    <w:rsid w:val="00FC2CA8"/>
    <w:rsid w:val="00FC413C"/>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berarbeitung">
    <w:name w:val="Revision"/>
    <w:hidden/>
    <w:uiPriority w:val="99"/>
    <w:semiHidden/>
    <w:rsid w:val="0002004A"/>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46149085">
      <w:bodyDiv w:val="1"/>
      <w:marLeft w:val="0"/>
      <w:marRight w:val="0"/>
      <w:marTop w:val="0"/>
      <w:marBottom w:val="0"/>
      <w:divBdr>
        <w:top w:val="none" w:sz="0" w:space="0" w:color="auto"/>
        <w:left w:val="none" w:sz="0" w:space="0" w:color="auto"/>
        <w:bottom w:val="none" w:sz="0" w:space="0" w:color="auto"/>
        <w:right w:val="none" w:sz="0" w:space="0" w:color="auto"/>
      </w:divBdr>
    </w:div>
    <w:div w:id="121075511">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92888895">
      <w:bodyDiv w:val="1"/>
      <w:marLeft w:val="0"/>
      <w:marRight w:val="0"/>
      <w:marTop w:val="0"/>
      <w:marBottom w:val="0"/>
      <w:divBdr>
        <w:top w:val="none" w:sz="0" w:space="0" w:color="auto"/>
        <w:left w:val="none" w:sz="0" w:space="0" w:color="auto"/>
        <w:bottom w:val="none" w:sz="0" w:space="0" w:color="auto"/>
        <w:right w:val="none" w:sz="0" w:space="0" w:color="auto"/>
      </w:divBdr>
    </w:div>
    <w:div w:id="349377226">
      <w:bodyDiv w:val="1"/>
      <w:marLeft w:val="0"/>
      <w:marRight w:val="0"/>
      <w:marTop w:val="0"/>
      <w:marBottom w:val="0"/>
      <w:divBdr>
        <w:top w:val="none" w:sz="0" w:space="0" w:color="auto"/>
        <w:left w:val="none" w:sz="0" w:space="0" w:color="auto"/>
        <w:bottom w:val="none" w:sz="0" w:space="0" w:color="auto"/>
        <w:right w:val="none" w:sz="0" w:space="0" w:color="auto"/>
      </w:divBdr>
    </w:div>
    <w:div w:id="369035810">
      <w:bodyDiv w:val="1"/>
      <w:marLeft w:val="0"/>
      <w:marRight w:val="0"/>
      <w:marTop w:val="0"/>
      <w:marBottom w:val="0"/>
      <w:divBdr>
        <w:top w:val="none" w:sz="0" w:space="0" w:color="auto"/>
        <w:left w:val="none" w:sz="0" w:space="0" w:color="auto"/>
        <w:bottom w:val="none" w:sz="0" w:space="0" w:color="auto"/>
        <w:right w:val="none" w:sz="0" w:space="0" w:color="auto"/>
      </w:divBdr>
    </w:div>
    <w:div w:id="380523359">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493646035">
      <w:bodyDiv w:val="1"/>
      <w:marLeft w:val="0"/>
      <w:marRight w:val="0"/>
      <w:marTop w:val="0"/>
      <w:marBottom w:val="0"/>
      <w:divBdr>
        <w:top w:val="none" w:sz="0" w:space="0" w:color="auto"/>
        <w:left w:val="none" w:sz="0" w:space="0" w:color="auto"/>
        <w:bottom w:val="none" w:sz="0" w:space="0" w:color="auto"/>
        <w:right w:val="none" w:sz="0" w:space="0" w:color="auto"/>
      </w:divBdr>
    </w:div>
    <w:div w:id="810709958">
      <w:bodyDiv w:val="1"/>
      <w:marLeft w:val="0"/>
      <w:marRight w:val="0"/>
      <w:marTop w:val="0"/>
      <w:marBottom w:val="0"/>
      <w:divBdr>
        <w:top w:val="none" w:sz="0" w:space="0" w:color="auto"/>
        <w:left w:val="none" w:sz="0" w:space="0" w:color="auto"/>
        <w:bottom w:val="none" w:sz="0" w:space="0" w:color="auto"/>
        <w:right w:val="none" w:sz="0" w:space="0" w:color="auto"/>
      </w:divBdr>
    </w:div>
    <w:div w:id="863009927">
      <w:bodyDiv w:val="1"/>
      <w:marLeft w:val="0"/>
      <w:marRight w:val="0"/>
      <w:marTop w:val="0"/>
      <w:marBottom w:val="0"/>
      <w:divBdr>
        <w:top w:val="none" w:sz="0" w:space="0" w:color="auto"/>
        <w:left w:val="none" w:sz="0" w:space="0" w:color="auto"/>
        <w:bottom w:val="none" w:sz="0" w:space="0" w:color="auto"/>
        <w:right w:val="none" w:sz="0" w:space="0" w:color="auto"/>
      </w:divBdr>
    </w:div>
    <w:div w:id="891235960">
      <w:bodyDiv w:val="1"/>
      <w:marLeft w:val="0"/>
      <w:marRight w:val="0"/>
      <w:marTop w:val="0"/>
      <w:marBottom w:val="0"/>
      <w:divBdr>
        <w:top w:val="none" w:sz="0" w:space="0" w:color="auto"/>
        <w:left w:val="none" w:sz="0" w:space="0" w:color="auto"/>
        <w:bottom w:val="none" w:sz="0" w:space="0" w:color="auto"/>
        <w:right w:val="none" w:sz="0" w:space="0" w:color="auto"/>
      </w:divBdr>
    </w:div>
    <w:div w:id="938180367">
      <w:bodyDiv w:val="1"/>
      <w:marLeft w:val="0"/>
      <w:marRight w:val="0"/>
      <w:marTop w:val="0"/>
      <w:marBottom w:val="0"/>
      <w:divBdr>
        <w:top w:val="none" w:sz="0" w:space="0" w:color="auto"/>
        <w:left w:val="none" w:sz="0" w:space="0" w:color="auto"/>
        <w:bottom w:val="none" w:sz="0" w:space="0" w:color="auto"/>
        <w:right w:val="none" w:sz="0" w:space="0" w:color="auto"/>
      </w:divBdr>
    </w:div>
    <w:div w:id="1166245609">
      <w:bodyDiv w:val="1"/>
      <w:marLeft w:val="0"/>
      <w:marRight w:val="0"/>
      <w:marTop w:val="0"/>
      <w:marBottom w:val="0"/>
      <w:divBdr>
        <w:top w:val="none" w:sz="0" w:space="0" w:color="auto"/>
        <w:left w:val="none" w:sz="0" w:space="0" w:color="auto"/>
        <w:bottom w:val="none" w:sz="0" w:space="0" w:color="auto"/>
        <w:right w:val="none" w:sz="0" w:space="0" w:color="auto"/>
      </w:divBdr>
    </w:div>
    <w:div w:id="1175800861">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552305860">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8237474">
      <w:bodyDiv w:val="1"/>
      <w:marLeft w:val="0"/>
      <w:marRight w:val="0"/>
      <w:marTop w:val="0"/>
      <w:marBottom w:val="0"/>
      <w:divBdr>
        <w:top w:val="none" w:sz="0" w:space="0" w:color="auto"/>
        <w:left w:val="none" w:sz="0" w:space="0" w:color="auto"/>
        <w:bottom w:val="none" w:sz="0" w:space="0" w:color="auto"/>
        <w:right w:val="none" w:sz="0" w:space="0" w:color="auto"/>
      </w:divBdr>
    </w:div>
    <w:div w:id="1727487001">
      <w:bodyDiv w:val="1"/>
      <w:marLeft w:val="0"/>
      <w:marRight w:val="0"/>
      <w:marTop w:val="0"/>
      <w:marBottom w:val="0"/>
      <w:divBdr>
        <w:top w:val="none" w:sz="0" w:space="0" w:color="auto"/>
        <w:left w:val="none" w:sz="0" w:space="0" w:color="auto"/>
        <w:bottom w:val="none" w:sz="0" w:space="0" w:color="auto"/>
        <w:right w:val="none" w:sz="0" w:space="0" w:color="auto"/>
      </w:divBdr>
    </w:div>
    <w:div w:id="1776048975">
      <w:bodyDiv w:val="1"/>
      <w:marLeft w:val="0"/>
      <w:marRight w:val="0"/>
      <w:marTop w:val="0"/>
      <w:marBottom w:val="0"/>
      <w:divBdr>
        <w:top w:val="none" w:sz="0" w:space="0" w:color="auto"/>
        <w:left w:val="none" w:sz="0" w:space="0" w:color="auto"/>
        <w:bottom w:val="none" w:sz="0" w:space="0" w:color="auto"/>
        <w:right w:val="none" w:sz="0" w:space="0" w:color="auto"/>
      </w:divBdr>
    </w:div>
    <w:div w:id="1849519875">
      <w:bodyDiv w:val="1"/>
      <w:marLeft w:val="0"/>
      <w:marRight w:val="0"/>
      <w:marTop w:val="0"/>
      <w:marBottom w:val="0"/>
      <w:divBdr>
        <w:top w:val="none" w:sz="0" w:space="0" w:color="auto"/>
        <w:left w:val="none" w:sz="0" w:space="0" w:color="auto"/>
        <w:bottom w:val="none" w:sz="0" w:space="0" w:color="auto"/>
        <w:right w:val="none" w:sz="0" w:space="0" w:color="auto"/>
      </w:divBdr>
    </w:div>
    <w:div w:id="1984767666">
      <w:bodyDiv w:val="1"/>
      <w:marLeft w:val="0"/>
      <w:marRight w:val="0"/>
      <w:marTop w:val="0"/>
      <w:marBottom w:val="0"/>
      <w:divBdr>
        <w:top w:val="none" w:sz="0" w:space="0" w:color="auto"/>
        <w:left w:val="none" w:sz="0" w:space="0" w:color="auto"/>
        <w:bottom w:val="none" w:sz="0" w:space="0" w:color="auto"/>
        <w:right w:val="none" w:sz="0" w:space="0" w:color="auto"/>
      </w:divBdr>
    </w:div>
    <w:div w:id="200739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657</Words>
  <Characters>4541</Characters>
  <Application>Microsoft Office Word</Application>
  <DocSecurity>0</DocSecurity>
  <Lines>96</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Hofmann, Celine</cp:lastModifiedBy>
  <cp:revision>32</cp:revision>
  <cp:lastPrinted>2026-03-02T12:36:00Z</cp:lastPrinted>
  <dcterms:created xsi:type="dcterms:W3CDTF">2026-01-08T06:57:00Z</dcterms:created>
  <dcterms:modified xsi:type="dcterms:W3CDTF">2026-03-02T12:36:00Z</dcterms:modified>
</cp:coreProperties>
</file>